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B0A" w14:textId="6D505EBD" w:rsidR="009E7460" w:rsidRDefault="00FA7FEC" w:rsidP="001C7CAB">
      <w:pPr>
        <w:spacing w:before="200" w:line="240" w:lineRule="auto"/>
        <w:contextualSpacing/>
        <w:rPr>
          <w:rFonts w:ascii="Arial" w:hAnsi="Arial" w:cs="Arial"/>
          <w:b/>
          <w:sz w:val="28"/>
          <w:szCs w:val="28"/>
        </w:rPr>
      </w:pPr>
      <w:r w:rsidRPr="00192063">
        <w:rPr>
          <w:rFonts w:ascii="Arial" w:hAnsi="Arial" w:cs="Arial"/>
          <w:b/>
          <w:sz w:val="28"/>
          <w:szCs w:val="28"/>
        </w:rPr>
        <w:t>Environment</w:t>
      </w:r>
      <w:r w:rsidR="006E466A" w:rsidRPr="00192063">
        <w:rPr>
          <w:rFonts w:ascii="Arial" w:hAnsi="Arial" w:cs="Arial"/>
          <w:b/>
          <w:sz w:val="28"/>
          <w:szCs w:val="28"/>
        </w:rPr>
        <w:t xml:space="preserve">, Economy, </w:t>
      </w:r>
      <w:r w:rsidRPr="00192063">
        <w:rPr>
          <w:rFonts w:ascii="Arial" w:hAnsi="Arial" w:cs="Arial"/>
          <w:b/>
          <w:sz w:val="28"/>
          <w:szCs w:val="28"/>
        </w:rPr>
        <w:t xml:space="preserve">Housing </w:t>
      </w:r>
      <w:r w:rsidR="006E466A" w:rsidRPr="00192063">
        <w:rPr>
          <w:rFonts w:ascii="Arial" w:hAnsi="Arial" w:cs="Arial"/>
          <w:b/>
          <w:sz w:val="28"/>
          <w:szCs w:val="28"/>
        </w:rPr>
        <w:t xml:space="preserve">and Transport </w:t>
      </w:r>
      <w:r w:rsidR="00E116A4">
        <w:rPr>
          <w:rFonts w:ascii="Arial" w:hAnsi="Arial" w:cs="Arial"/>
          <w:b/>
          <w:sz w:val="28"/>
          <w:szCs w:val="28"/>
        </w:rPr>
        <w:t xml:space="preserve">Board – report from Cllr Martin </w:t>
      </w:r>
      <w:proofErr w:type="spellStart"/>
      <w:r w:rsidR="00E116A4">
        <w:rPr>
          <w:rFonts w:ascii="Arial" w:hAnsi="Arial" w:cs="Arial"/>
          <w:b/>
          <w:sz w:val="28"/>
          <w:szCs w:val="28"/>
        </w:rPr>
        <w:t>Tett</w:t>
      </w:r>
      <w:proofErr w:type="spellEnd"/>
      <w:r w:rsidRPr="00192063">
        <w:rPr>
          <w:rFonts w:ascii="Arial" w:hAnsi="Arial" w:cs="Arial"/>
          <w:b/>
          <w:sz w:val="28"/>
          <w:szCs w:val="28"/>
        </w:rPr>
        <w:t xml:space="preserve"> (Chair</w:t>
      </w:r>
      <w:r w:rsidR="00E116A4">
        <w:rPr>
          <w:rFonts w:ascii="Arial" w:hAnsi="Arial" w:cs="Arial"/>
          <w:b/>
          <w:sz w:val="28"/>
          <w:szCs w:val="28"/>
        </w:rPr>
        <w:t>man</w:t>
      </w:r>
      <w:r w:rsidRPr="00192063">
        <w:rPr>
          <w:rFonts w:ascii="Arial" w:hAnsi="Arial" w:cs="Arial"/>
          <w:b/>
          <w:sz w:val="28"/>
          <w:szCs w:val="28"/>
        </w:rPr>
        <w:t xml:space="preserve">) </w:t>
      </w:r>
    </w:p>
    <w:p w14:paraId="3F4F5E57" w14:textId="77777777" w:rsidR="007D7459" w:rsidRPr="007D7459" w:rsidRDefault="007D7459" w:rsidP="001C7CAB">
      <w:pPr>
        <w:spacing w:before="200" w:line="240" w:lineRule="auto"/>
        <w:contextualSpacing/>
        <w:rPr>
          <w:rFonts w:ascii="Arial" w:hAnsi="Arial" w:cs="Arial"/>
          <w:b/>
          <w:sz w:val="28"/>
          <w:szCs w:val="28"/>
        </w:rPr>
      </w:pPr>
    </w:p>
    <w:p w14:paraId="4301D79A" w14:textId="6C7E9C5C" w:rsidR="00D80F45" w:rsidRDefault="00D80F45" w:rsidP="007D7459">
      <w:pPr>
        <w:spacing w:after="0" w:line="240" w:lineRule="auto"/>
        <w:rPr>
          <w:rFonts w:ascii="Arial" w:hAnsi="Arial" w:cs="Arial"/>
          <w:b/>
        </w:rPr>
      </w:pPr>
      <w:r w:rsidRPr="009E7460">
        <w:rPr>
          <w:rFonts w:ascii="Arial" w:hAnsi="Arial" w:cs="Arial"/>
          <w:b/>
        </w:rPr>
        <w:t>H</w:t>
      </w:r>
      <w:r w:rsidR="00E116A4">
        <w:rPr>
          <w:rFonts w:ascii="Arial" w:hAnsi="Arial" w:cs="Arial"/>
          <w:b/>
        </w:rPr>
        <w:t>omelessness Reduction Bill</w:t>
      </w:r>
    </w:p>
    <w:p w14:paraId="113D075E" w14:textId="77777777" w:rsidR="007D7459" w:rsidRPr="009E7460" w:rsidRDefault="007D7459" w:rsidP="007D7459">
      <w:pPr>
        <w:spacing w:after="0" w:line="240" w:lineRule="auto"/>
        <w:rPr>
          <w:rFonts w:ascii="Arial" w:hAnsi="Arial" w:cs="Arial"/>
        </w:rPr>
      </w:pPr>
    </w:p>
    <w:p w14:paraId="570E5B30" w14:textId="3456EE5B" w:rsidR="00DA6022" w:rsidRPr="007D7459" w:rsidRDefault="00E116A4" w:rsidP="007D7459">
      <w:pPr>
        <w:pStyle w:val="ListParagraph"/>
        <w:numPr>
          <w:ilvl w:val="0"/>
          <w:numId w:val="26"/>
        </w:numPr>
        <w:spacing w:after="0" w:line="240" w:lineRule="auto"/>
        <w:rPr>
          <w:rFonts w:ascii="Arial" w:hAnsi="Arial" w:cs="Arial"/>
        </w:rPr>
      </w:pPr>
      <w:r w:rsidRPr="007D7459">
        <w:rPr>
          <w:rFonts w:ascii="Arial" w:hAnsi="Arial" w:cs="Arial"/>
        </w:rPr>
        <w:t xml:space="preserve">Following a short consultation exercise with councils and key partners, the Economy, Environment, Housing and Transport Board published a policy briefing on the Homelessness Reduction Bill, which is available </w:t>
      </w:r>
      <w:hyperlink r:id="rId11" w:history="1">
        <w:r w:rsidRPr="007D7459">
          <w:rPr>
            <w:rStyle w:val="Hyperlink"/>
            <w:rFonts w:ascii="Arial" w:hAnsi="Arial" w:cs="Arial"/>
          </w:rPr>
          <w:t>here</w:t>
        </w:r>
      </w:hyperlink>
      <w:r w:rsidRPr="007D7459">
        <w:rPr>
          <w:rFonts w:ascii="Arial" w:hAnsi="Arial" w:cs="Arial"/>
        </w:rPr>
        <w:t xml:space="preserve">. There is growing awareness in the sector about the potential impact of the Bill. Although it is a private members </w:t>
      </w:r>
      <w:r w:rsidR="00E7069B" w:rsidRPr="007D7459">
        <w:rPr>
          <w:rFonts w:ascii="Arial" w:hAnsi="Arial" w:cs="Arial"/>
        </w:rPr>
        <w:t>B</w:t>
      </w:r>
      <w:r w:rsidRPr="007D7459">
        <w:rPr>
          <w:rFonts w:ascii="Arial" w:hAnsi="Arial" w:cs="Arial"/>
        </w:rPr>
        <w:t xml:space="preserve">ill, it is looking increasingly likely that it will gain government support and therefore pass at the second reading in the House of Commons, which is scheduled for 28 October. Our briefing has been circulated to councils and other key partners, and will form the basis ongoing discussions with government and the Bill’s sponsor, </w:t>
      </w:r>
      <w:r w:rsidR="0015581A" w:rsidRPr="007D7459">
        <w:rPr>
          <w:rFonts w:ascii="Arial" w:hAnsi="Arial" w:cs="Arial"/>
        </w:rPr>
        <w:t xml:space="preserve">the Rt. Hon. </w:t>
      </w:r>
      <w:r w:rsidRPr="007D7459">
        <w:rPr>
          <w:rFonts w:ascii="Arial" w:hAnsi="Arial" w:cs="Arial"/>
        </w:rPr>
        <w:t>Bob Blackman MP.</w:t>
      </w:r>
    </w:p>
    <w:p w14:paraId="5F9CA07C" w14:textId="77777777" w:rsidR="00E116A4" w:rsidRDefault="00E116A4" w:rsidP="007D7459">
      <w:pPr>
        <w:spacing w:after="0" w:line="240" w:lineRule="auto"/>
        <w:rPr>
          <w:rFonts w:ascii="Arial" w:hAnsi="Arial" w:cs="Arial"/>
        </w:rPr>
      </w:pPr>
    </w:p>
    <w:p w14:paraId="0B6B1D9F" w14:textId="778C7337" w:rsidR="00E116A4" w:rsidRPr="007D7459" w:rsidRDefault="00E7069B" w:rsidP="007D7459">
      <w:pPr>
        <w:pStyle w:val="ListParagraph"/>
        <w:numPr>
          <w:ilvl w:val="0"/>
          <w:numId w:val="26"/>
        </w:numPr>
        <w:spacing w:after="0" w:line="240" w:lineRule="auto"/>
        <w:rPr>
          <w:rFonts w:ascii="Arial" w:hAnsi="Arial" w:cs="Arial"/>
        </w:rPr>
      </w:pPr>
      <w:r w:rsidRPr="007D7459">
        <w:rPr>
          <w:rFonts w:ascii="Arial" w:hAnsi="Arial" w:cs="Arial"/>
        </w:rPr>
        <w:t xml:space="preserve">On Tuesday 4 October, I meet with the </w:t>
      </w:r>
      <w:r w:rsidR="0015581A" w:rsidRPr="007D7459">
        <w:rPr>
          <w:rFonts w:ascii="Arial" w:hAnsi="Arial" w:cs="Arial"/>
        </w:rPr>
        <w:t>Mr</w:t>
      </w:r>
      <w:r w:rsidRPr="007D7459">
        <w:rPr>
          <w:rFonts w:ascii="Arial" w:hAnsi="Arial" w:cs="Arial"/>
        </w:rPr>
        <w:t xml:space="preserve"> Blackman to discu</w:t>
      </w:r>
      <w:r w:rsidR="0015581A" w:rsidRPr="007D7459">
        <w:rPr>
          <w:rFonts w:ascii="Arial" w:hAnsi="Arial" w:cs="Arial"/>
        </w:rPr>
        <w:t>s</w:t>
      </w:r>
      <w:r w:rsidRPr="007D7459">
        <w:rPr>
          <w:rFonts w:ascii="Arial" w:hAnsi="Arial" w:cs="Arial"/>
        </w:rPr>
        <w:t xml:space="preserve">s </w:t>
      </w:r>
      <w:r w:rsidR="0015581A" w:rsidRPr="007D7459">
        <w:rPr>
          <w:rFonts w:ascii="Arial" w:hAnsi="Arial" w:cs="Arial"/>
        </w:rPr>
        <w:t>the LGA’s</w:t>
      </w:r>
      <w:r w:rsidRPr="007D7459">
        <w:rPr>
          <w:rFonts w:ascii="Arial" w:hAnsi="Arial" w:cs="Arial"/>
        </w:rPr>
        <w:t xml:space="preserve"> concerns. Our conversation included the following reservations about the draft Bill:</w:t>
      </w:r>
    </w:p>
    <w:p w14:paraId="3CFA6608" w14:textId="77777777" w:rsidR="00E116A4" w:rsidRPr="00E116A4" w:rsidRDefault="00E116A4" w:rsidP="007D7459">
      <w:pPr>
        <w:spacing w:after="0" w:line="240" w:lineRule="auto"/>
        <w:rPr>
          <w:rFonts w:ascii="Arial" w:hAnsi="Arial" w:cs="Arial"/>
        </w:rPr>
      </w:pPr>
    </w:p>
    <w:p w14:paraId="275C21FF" w14:textId="45833FA0" w:rsidR="00E116A4" w:rsidRDefault="007D7459" w:rsidP="007D7459">
      <w:pPr>
        <w:spacing w:after="0" w:line="240" w:lineRule="auto"/>
        <w:ind w:left="993" w:hanging="426"/>
        <w:rPr>
          <w:rFonts w:ascii="Arial" w:hAnsi="Arial" w:cs="Arial"/>
        </w:rPr>
      </w:pPr>
      <w:r>
        <w:rPr>
          <w:rFonts w:ascii="Arial" w:hAnsi="Arial" w:cs="Arial"/>
        </w:rPr>
        <w:t xml:space="preserve">2.1 </w:t>
      </w:r>
      <w:r>
        <w:rPr>
          <w:rFonts w:ascii="Arial" w:hAnsi="Arial" w:cs="Arial"/>
        </w:rPr>
        <w:tab/>
      </w:r>
      <w:r w:rsidR="00E116A4" w:rsidRPr="00E116A4">
        <w:rPr>
          <w:rFonts w:ascii="Arial" w:hAnsi="Arial" w:cs="Arial"/>
        </w:rPr>
        <w:t>56 day accommodation duty for those with nowhere safe to stay regardless of whether or not they have priority need - There is an insufficient supply of suitable accommodation to discharge this duty, and attempts to do so rely on sourcing expensive temporary accommodation which risks detracting from prevention work.</w:t>
      </w:r>
    </w:p>
    <w:p w14:paraId="5FDA32D7" w14:textId="77777777" w:rsidR="00E116A4" w:rsidRPr="00E116A4" w:rsidRDefault="00E116A4" w:rsidP="007D7459">
      <w:pPr>
        <w:spacing w:after="0" w:line="240" w:lineRule="auto"/>
        <w:ind w:left="993" w:hanging="426"/>
        <w:rPr>
          <w:rFonts w:ascii="Arial" w:hAnsi="Arial" w:cs="Arial"/>
        </w:rPr>
      </w:pPr>
    </w:p>
    <w:p w14:paraId="1491072F" w14:textId="572CBF5B" w:rsidR="00E116A4" w:rsidRDefault="007D7459" w:rsidP="007D7459">
      <w:pPr>
        <w:spacing w:after="0" w:line="240" w:lineRule="auto"/>
        <w:ind w:left="993" w:hanging="426"/>
        <w:rPr>
          <w:rFonts w:ascii="Arial" w:hAnsi="Arial" w:cs="Arial"/>
        </w:rPr>
      </w:pPr>
      <w:r>
        <w:rPr>
          <w:rFonts w:ascii="Arial" w:hAnsi="Arial" w:cs="Arial"/>
        </w:rPr>
        <w:t xml:space="preserve">2.2 </w:t>
      </w:r>
      <w:r>
        <w:rPr>
          <w:rFonts w:ascii="Arial" w:hAnsi="Arial" w:cs="Arial"/>
        </w:rPr>
        <w:tab/>
      </w:r>
      <w:r w:rsidR="00E116A4">
        <w:rPr>
          <w:rFonts w:ascii="Arial" w:hAnsi="Arial" w:cs="Arial"/>
        </w:rPr>
        <w:t>T</w:t>
      </w:r>
      <w:r w:rsidR="00E116A4" w:rsidRPr="00E116A4">
        <w:rPr>
          <w:rFonts w:ascii="Arial" w:hAnsi="Arial" w:cs="Arial"/>
        </w:rPr>
        <w:t>he requirement to recognise an expired section 21 noti</w:t>
      </w:r>
      <w:r w:rsidR="00E116A4">
        <w:rPr>
          <w:rFonts w:ascii="Arial" w:hAnsi="Arial" w:cs="Arial"/>
        </w:rPr>
        <w:t xml:space="preserve">ce as proof of homelessness. </w:t>
      </w:r>
      <w:r w:rsidR="00E116A4" w:rsidRPr="00E116A4">
        <w:rPr>
          <w:rFonts w:ascii="Arial" w:hAnsi="Arial" w:cs="Arial"/>
        </w:rPr>
        <w:t>This requirement will limit the time available to local authorities to engage in preventative work to avoid evictions.</w:t>
      </w:r>
    </w:p>
    <w:p w14:paraId="36DFA645" w14:textId="77777777" w:rsidR="00E116A4" w:rsidRPr="00E116A4" w:rsidRDefault="00E116A4" w:rsidP="007D7459">
      <w:pPr>
        <w:spacing w:after="0" w:line="240" w:lineRule="auto"/>
        <w:ind w:left="993" w:hanging="426"/>
        <w:rPr>
          <w:rFonts w:ascii="Arial" w:hAnsi="Arial" w:cs="Arial"/>
        </w:rPr>
      </w:pPr>
    </w:p>
    <w:p w14:paraId="60CF6BEC" w14:textId="6AB5E4EA" w:rsidR="00E116A4" w:rsidRDefault="007D7459" w:rsidP="007D7459">
      <w:pPr>
        <w:spacing w:after="0" w:line="240" w:lineRule="auto"/>
        <w:ind w:left="993" w:hanging="426"/>
        <w:rPr>
          <w:rFonts w:ascii="Arial" w:hAnsi="Arial" w:cs="Arial"/>
        </w:rPr>
      </w:pPr>
      <w:r>
        <w:rPr>
          <w:rFonts w:ascii="Arial" w:hAnsi="Arial" w:cs="Arial"/>
        </w:rPr>
        <w:t xml:space="preserve">2.3 </w:t>
      </w:r>
      <w:r>
        <w:rPr>
          <w:rFonts w:ascii="Arial" w:hAnsi="Arial" w:cs="Arial"/>
        </w:rPr>
        <w:tab/>
      </w:r>
      <w:r w:rsidR="00E116A4" w:rsidRPr="00E116A4">
        <w:rPr>
          <w:rFonts w:ascii="Arial" w:hAnsi="Arial" w:cs="Arial"/>
        </w:rPr>
        <w:t>The duty to help to secure accommodation in 12 month tenancies for people who are homeless regardless of whether or not they have priority need - There are insufficient 12 month tenancies available to successfully discharge this duty for all applicants.</w:t>
      </w:r>
    </w:p>
    <w:p w14:paraId="6D2906E3" w14:textId="77777777" w:rsidR="00E116A4" w:rsidRDefault="00E116A4" w:rsidP="007D7459">
      <w:pPr>
        <w:spacing w:after="0" w:line="240" w:lineRule="auto"/>
        <w:ind w:left="720"/>
        <w:rPr>
          <w:rFonts w:ascii="Arial" w:hAnsi="Arial" w:cs="Arial"/>
        </w:rPr>
      </w:pPr>
    </w:p>
    <w:p w14:paraId="15D7F4BF" w14:textId="7D093316" w:rsidR="00D1768A" w:rsidRDefault="00D1768A" w:rsidP="007D7459">
      <w:pPr>
        <w:spacing w:after="0" w:line="240" w:lineRule="auto"/>
        <w:rPr>
          <w:rFonts w:ascii="Arial" w:hAnsi="Arial" w:cs="Arial"/>
        </w:rPr>
      </w:pPr>
      <w:r w:rsidRPr="00D1768A">
        <w:rPr>
          <w:rFonts w:ascii="Arial" w:hAnsi="Arial" w:cs="Arial"/>
          <w:b/>
        </w:rPr>
        <w:t>Joint session with the British Property Federation and senior managers of Milton Keynes Council</w:t>
      </w:r>
      <w:r w:rsidRPr="00D1768A">
        <w:rPr>
          <w:rFonts w:ascii="Arial" w:hAnsi="Arial" w:cs="Arial"/>
        </w:rPr>
        <w:t xml:space="preserve"> </w:t>
      </w:r>
    </w:p>
    <w:p w14:paraId="2C27E305" w14:textId="77777777" w:rsidR="007D7459" w:rsidRDefault="007D7459" w:rsidP="007D7459">
      <w:pPr>
        <w:spacing w:after="0" w:line="240" w:lineRule="auto"/>
        <w:rPr>
          <w:rFonts w:ascii="Arial" w:hAnsi="Arial" w:cs="Arial"/>
        </w:rPr>
      </w:pPr>
    </w:p>
    <w:p w14:paraId="1B1E84D4" w14:textId="4BF5DD22" w:rsidR="00D1768A" w:rsidRPr="007D7459" w:rsidRDefault="00F3338A" w:rsidP="007D7459">
      <w:pPr>
        <w:pStyle w:val="ListParagraph"/>
        <w:numPr>
          <w:ilvl w:val="0"/>
          <w:numId w:val="26"/>
        </w:numPr>
        <w:spacing w:after="0" w:line="240" w:lineRule="auto"/>
        <w:rPr>
          <w:rFonts w:ascii="Arial" w:hAnsi="Arial" w:cs="Arial"/>
        </w:rPr>
      </w:pPr>
      <w:r w:rsidRPr="007D7459">
        <w:rPr>
          <w:rFonts w:ascii="Arial" w:hAnsi="Arial" w:cs="Arial"/>
        </w:rPr>
        <w:t>On Monday 19 September, t</w:t>
      </w:r>
      <w:r w:rsidR="00D1768A" w:rsidRPr="007D7459">
        <w:rPr>
          <w:rFonts w:ascii="Arial" w:hAnsi="Arial" w:cs="Arial"/>
        </w:rPr>
        <w:t xml:space="preserve">he LGA held a joint session on the issue of infrastructure and growth. Civil servants and leaders from the development industry took part in discussions, offering their valuable thoughts, reflections and expert knowledge into what will help Milton Keynes achieve its growth ambitions and attract investment. This event follows on from an earlier </w:t>
      </w:r>
      <w:r w:rsidRPr="007D7459">
        <w:rPr>
          <w:rFonts w:ascii="Arial" w:hAnsi="Arial" w:cs="Arial"/>
        </w:rPr>
        <w:t>occasion</w:t>
      </w:r>
      <w:r w:rsidR="00D1768A" w:rsidRPr="007D7459">
        <w:rPr>
          <w:rFonts w:ascii="Arial" w:hAnsi="Arial" w:cs="Arial"/>
        </w:rPr>
        <w:t xml:space="preserve"> held in Southampton. Key messages will be shared widely with local government, the development industry and Government.</w:t>
      </w:r>
    </w:p>
    <w:p w14:paraId="473ED180" w14:textId="77777777" w:rsidR="00E7069B" w:rsidRDefault="00E7069B" w:rsidP="007D7459">
      <w:pPr>
        <w:spacing w:after="0" w:line="240" w:lineRule="auto"/>
        <w:rPr>
          <w:rFonts w:ascii="Arial" w:hAnsi="Arial" w:cs="Arial"/>
        </w:rPr>
      </w:pPr>
    </w:p>
    <w:p w14:paraId="4391621B" w14:textId="64F9BB71" w:rsidR="00D1768A" w:rsidRDefault="00D1768A" w:rsidP="007D7459">
      <w:pPr>
        <w:spacing w:after="0" w:line="240" w:lineRule="auto"/>
        <w:rPr>
          <w:rFonts w:ascii="Arial" w:hAnsi="Arial" w:cs="Arial"/>
          <w:b/>
        </w:rPr>
      </w:pPr>
      <w:r>
        <w:rPr>
          <w:rFonts w:ascii="Arial" w:hAnsi="Arial" w:cs="Arial"/>
          <w:b/>
        </w:rPr>
        <w:t>Commercial Waste Service</w:t>
      </w:r>
    </w:p>
    <w:p w14:paraId="21C56106" w14:textId="77777777" w:rsidR="007D7459" w:rsidRDefault="007D7459" w:rsidP="007D7459">
      <w:pPr>
        <w:spacing w:after="0" w:line="240" w:lineRule="auto"/>
        <w:rPr>
          <w:rFonts w:ascii="Arial" w:hAnsi="Arial" w:cs="Arial"/>
          <w:b/>
        </w:rPr>
      </w:pPr>
    </w:p>
    <w:p w14:paraId="1893D37F" w14:textId="61C3BD95" w:rsidR="00D1768A" w:rsidRPr="007D7459" w:rsidRDefault="00F3338A" w:rsidP="007D7459">
      <w:pPr>
        <w:pStyle w:val="ListParagraph"/>
        <w:numPr>
          <w:ilvl w:val="0"/>
          <w:numId w:val="26"/>
        </w:numPr>
        <w:spacing w:after="0" w:line="240" w:lineRule="auto"/>
        <w:rPr>
          <w:rFonts w:ascii="Arial" w:hAnsi="Arial" w:cs="Arial"/>
        </w:rPr>
      </w:pPr>
      <w:r w:rsidRPr="007D7459">
        <w:rPr>
          <w:rFonts w:ascii="Arial" w:hAnsi="Arial" w:cs="Arial"/>
        </w:rPr>
        <w:t>During the week commencing the 19 September, t</w:t>
      </w:r>
      <w:r w:rsidR="00D1768A" w:rsidRPr="007D7459">
        <w:rPr>
          <w:rFonts w:ascii="Arial" w:hAnsi="Arial" w:cs="Arial"/>
        </w:rPr>
        <w:t xml:space="preserve">he Board, in conjunction with the legal team at the LGA, supported </w:t>
      </w:r>
      <w:r w:rsidRPr="007D7459">
        <w:rPr>
          <w:rFonts w:ascii="Arial" w:hAnsi="Arial" w:cs="Arial"/>
        </w:rPr>
        <w:t xml:space="preserve">the </w:t>
      </w:r>
      <w:r w:rsidR="00D1768A" w:rsidRPr="007D7459">
        <w:rPr>
          <w:rFonts w:ascii="Arial" w:hAnsi="Arial" w:cs="Arial"/>
        </w:rPr>
        <w:t>Treasury and HMT to successfully defend a judicial review of the VAT exemption for council commercial waste services</w:t>
      </w:r>
      <w:r w:rsidRPr="007D7459">
        <w:rPr>
          <w:rFonts w:ascii="Arial" w:hAnsi="Arial" w:cs="Arial"/>
        </w:rPr>
        <w:t>.</w:t>
      </w:r>
    </w:p>
    <w:p w14:paraId="018EFD98" w14:textId="77777777" w:rsidR="007D7459" w:rsidRDefault="007D7459" w:rsidP="007D7459">
      <w:pPr>
        <w:spacing w:after="0" w:line="240" w:lineRule="auto"/>
        <w:rPr>
          <w:rFonts w:ascii="Arial" w:hAnsi="Arial" w:cs="Arial"/>
          <w:b/>
        </w:rPr>
      </w:pPr>
    </w:p>
    <w:p w14:paraId="62E2F5D0" w14:textId="77777777" w:rsidR="007D7459" w:rsidRDefault="007D7459" w:rsidP="007D7459">
      <w:pPr>
        <w:spacing w:after="0" w:line="240" w:lineRule="auto"/>
        <w:rPr>
          <w:rFonts w:ascii="Arial" w:hAnsi="Arial" w:cs="Arial"/>
          <w:b/>
        </w:rPr>
      </w:pPr>
    </w:p>
    <w:p w14:paraId="37FD0DF8" w14:textId="77777777" w:rsidR="007D7459" w:rsidRDefault="007D7459" w:rsidP="007D7459">
      <w:pPr>
        <w:spacing w:after="0" w:line="240" w:lineRule="auto"/>
        <w:rPr>
          <w:rFonts w:ascii="Arial" w:hAnsi="Arial" w:cs="Arial"/>
          <w:b/>
        </w:rPr>
      </w:pPr>
    </w:p>
    <w:p w14:paraId="020DC208" w14:textId="77777777" w:rsidR="007D7459" w:rsidRDefault="007D7459" w:rsidP="007D7459">
      <w:pPr>
        <w:spacing w:after="0" w:line="240" w:lineRule="auto"/>
        <w:rPr>
          <w:rFonts w:ascii="Arial" w:hAnsi="Arial" w:cs="Arial"/>
          <w:b/>
        </w:rPr>
      </w:pPr>
    </w:p>
    <w:p w14:paraId="2CD2142E" w14:textId="77777777" w:rsidR="00907FEE" w:rsidRDefault="00907FEE">
      <w:pPr>
        <w:rPr>
          <w:rFonts w:ascii="Arial" w:hAnsi="Arial" w:cs="Arial"/>
          <w:b/>
        </w:rPr>
      </w:pPr>
      <w:r>
        <w:rPr>
          <w:rFonts w:ascii="Arial" w:hAnsi="Arial" w:cs="Arial"/>
          <w:b/>
        </w:rPr>
        <w:br w:type="page"/>
      </w:r>
    </w:p>
    <w:p w14:paraId="0DE0EB15" w14:textId="38158668" w:rsidR="00061D95" w:rsidRDefault="00061D95" w:rsidP="007D7459">
      <w:pPr>
        <w:spacing w:after="0" w:line="240" w:lineRule="auto"/>
        <w:rPr>
          <w:rFonts w:ascii="Arial" w:hAnsi="Arial" w:cs="Arial"/>
          <w:b/>
        </w:rPr>
      </w:pPr>
      <w:bookmarkStart w:id="0" w:name="_GoBack"/>
      <w:bookmarkEnd w:id="0"/>
      <w:r w:rsidRPr="00061D95">
        <w:rPr>
          <w:rFonts w:ascii="Arial" w:hAnsi="Arial" w:cs="Arial"/>
          <w:b/>
        </w:rPr>
        <w:lastRenderedPageBreak/>
        <w:t>Conferences, Meetings and External Events</w:t>
      </w:r>
    </w:p>
    <w:p w14:paraId="179DF4CF" w14:textId="77777777" w:rsidR="007D7459" w:rsidRPr="007D7459" w:rsidRDefault="007D7459" w:rsidP="007D7459">
      <w:pPr>
        <w:spacing w:after="0" w:line="240" w:lineRule="auto"/>
        <w:rPr>
          <w:rFonts w:ascii="Arial" w:hAnsi="Arial" w:cs="Arial"/>
          <w:b/>
        </w:rPr>
      </w:pPr>
    </w:p>
    <w:p w14:paraId="698EABFB" w14:textId="48CFC559" w:rsidR="00E7069B" w:rsidRPr="007D7459" w:rsidRDefault="00E7069B" w:rsidP="007D7459">
      <w:pPr>
        <w:pStyle w:val="ListParagraph"/>
        <w:numPr>
          <w:ilvl w:val="0"/>
          <w:numId w:val="26"/>
        </w:numPr>
        <w:spacing w:after="0" w:line="240" w:lineRule="auto"/>
        <w:rPr>
          <w:rFonts w:ascii="Arial" w:hAnsi="Arial" w:cs="Arial"/>
        </w:rPr>
      </w:pPr>
      <w:r w:rsidRPr="007D7459">
        <w:rPr>
          <w:rFonts w:ascii="Arial" w:hAnsi="Arial" w:cs="Arial"/>
        </w:rPr>
        <w:t xml:space="preserve">On Tuesday 11 October and accompanied by Kamal Panchal (Senior Adviser, International Affairs and Economic Growth) I met with the Rt. Hon. </w:t>
      </w:r>
      <w:r w:rsidR="0015581A" w:rsidRPr="007D7459">
        <w:rPr>
          <w:rFonts w:ascii="Arial" w:hAnsi="Arial" w:cs="Arial"/>
        </w:rPr>
        <w:t xml:space="preserve">Andrew Jones MP (Parliamentary Under Secretary of State for Transport). This conversation covered a broad range of topics, but included the LGA’s priorities of vibrant and cost-effective bus services, tackling congestion and infrastructure investment. </w:t>
      </w:r>
    </w:p>
    <w:p w14:paraId="60A8B441" w14:textId="77777777" w:rsidR="00580102" w:rsidRDefault="00580102" w:rsidP="007D7459">
      <w:pPr>
        <w:spacing w:after="0" w:line="240" w:lineRule="auto"/>
        <w:rPr>
          <w:rFonts w:ascii="Arial" w:hAnsi="Arial" w:cs="Arial"/>
        </w:rPr>
      </w:pPr>
    </w:p>
    <w:p w14:paraId="43181BAC" w14:textId="660B5040" w:rsidR="00580102" w:rsidRPr="007D7459" w:rsidRDefault="00F3338A" w:rsidP="007D7459">
      <w:pPr>
        <w:pStyle w:val="ListParagraph"/>
        <w:numPr>
          <w:ilvl w:val="0"/>
          <w:numId w:val="26"/>
        </w:numPr>
        <w:spacing w:after="0" w:line="240" w:lineRule="auto"/>
        <w:rPr>
          <w:rFonts w:ascii="Arial" w:hAnsi="Arial" w:cs="Arial"/>
        </w:rPr>
      </w:pPr>
      <w:r w:rsidRPr="007D7459">
        <w:rPr>
          <w:rFonts w:ascii="Arial" w:hAnsi="Arial" w:cs="Arial"/>
        </w:rPr>
        <w:t xml:space="preserve">On Tuesday 4 October </w:t>
      </w:r>
      <w:r w:rsidR="00580102" w:rsidRPr="007D7459">
        <w:rPr>
          <w:rFonts w:ascii="Arial" w:hAnsi="Arial" w:cs="Arial"/>
        </w:rPr>
        <w:t xml:space="preserve">I also spoke at the Centre for Progressive Capitalism event on driving housing growth through Land Value Capture. </w:t>
      </w:r>
    </w:p>
    <w:p w14:paraId="2168A862" w14:textId="77777777" w:rsidR="00E7069B" w:rsidRDefault="00E7069B" w:rsidP="007D7459">
      <w:pPr>
        <w:spacing w:after="0" w:line="240" w:lineRule="auto"/>
        <w:rPr>
          <w:rFonts w:ascii="Arial" w:hAnsi="Arial" w:cs="Arial"/>
        </w:rPr>
      </w:pPr>
    </w:p>
    <w:p w14:paraId="0942521A" w14:textId="491C8D13" w:rsidR="00E116A4" w:rsidRPr="007D7459" w:rsidRDefault="00061D95" w:rsidP="007D7459">
      <w:pPr>
        <w:pStyle w:val="ListParagraph"/>
        <w:numPr>
          <w:ilvl w:val="0"/>
          <w:numId w:val="26"/>
        </w:numPr>
        <w:spacing w:after="0" w:line="240" w:lineRule="auto"/>
        <w:rPr>
          <w:rFonts w:ascii="Arial" w:hAnsi="Arial" w:cs="Arial"/>
        </w:rPr>
      </w:pPr>
      <w:r w:rsidRPr="007D7459">
        <w:rPr>
          <w:rFonts w:ascii="Arial" w:hAnsi="Arial" w:cs="Arial"/>
        </w:rPr>
        <w:t xml:space="preserve">On Wednesday 13 July Cllr Keith House (Deputy Chair) spoke on connection between homeless and house building at the Housing Quality Network Annual Conference. </w:t>
      </w:r>
      <w:r w:rsidR="00E7069B" w:rsidRPr="007D7459">
        <w:rPr>
          <w:rFonts w:ascii="Arial" w:hAnsi="Arial" w:cs="Arial"/>
        </w:rPr>
        <w:t>On Thursday 29 September Cllr House also spoke at the Planning for Housing Conference, where his talk revolved around the implications for housing of Britain leaving the European Union.</w:t>
      </w:r>
      <w:r w:rsidR="0015581A" w:rsidRPr="007D7459">
        <w:rPr>
          <w:rFonts w:ascii="Arial" w:hAnsi="Arial" w:cs="Arial"/>
        </w:rPr>
        <w:t xml:space="preserve"> Cllr House also spoke at an Inside Government event o</w:t>
      </w:r>
      <w:r w:rsidR="00F33ADC" w:rsidRPr="007D7459">
        <w:rPr>
          <w:rFonts w:ascii="Arial" w:hAnsi="Arial" w:cs="Arial"/>
        </w:rPr>
        <w:t>n rogue landlords</w:t>
      </w:r>
      <w:r w:rsidR="00F3338A" w:rsidRPr="007D7459">
        <w:rPr>
          <w:rFonts w:ascii="Arial" w:hAnsi="Arial" w:cs="Arial"/>
        </w:rPr>
        <w:t xml:space="preserve"> on Tuesday 27 September.</w:t>
      </w:r>
    </w:p>
    <w:p w14:paraId="1B333A92" w14:textId="77777777" w:rsidR="00061D95" w:rsidRDefault="00061D95" w:rsidP="007D7459">
      <w:pPr>
        <w:spacing w:after="0" w:line="240" w:lineRule="auto"/>
        <w:rPr>
          <w:rFonts w:ascii="Arial" w:hAnsi="Arial" w:cs="Arial"/>
        </w:rPr>
      </w:pPr>
    </w:p>
    <w:p w14:paraId="5CF362C4" w14:textId="5362CFD2" w:rsidR="00061D95" w:rsidRDefault="00061D95" w:rsidP="007D7459">
      <w:pPr>
        <w:pStyle w:val="ListParagraph"/>
        <w:numPr>
          <w:ilvl w:val="0"/>
          <w:numId w:val="26"/>
        </w:numPr>
        <w:spacing w:after="0" w:line="240" w:lineRule="auto"/>
        <w:rPr>
          <w:rFonts w:ascii="Arial" w:hAnsi="Arial" w:cs="Arial"/>
        </w:rPr>
      </w:pPr>
      <w:r w:rsidRPr="007D7459">
        <w:rPr>
          <w:rFonts w:ascii="Arial" w:hAnsi="Arial" w:cs="Arial"/>
        </w:rPr>
        <w:t>On Tuesday 14 June, Cllr Julian German (Deputy Chair) attended a workshop on food waste with the Government’s Chief Scientific Adviser, Defra’s Chief Scientific Adviser and Rory Stewart MP.</w:t>
      </w:r>
    </w:p>
    <w:p w14:paraId="0E09E989" w14:textId="77777777" w:rsidR="007D7459" w:rsidRPr="007D7459" w:rsidRDefault="007D7459" w:rsidP="007D7459">
      <w:pPr>
        <w:spacing w:after="0" w:line="240" w:lineRule="auto"/>
        <w:rPr>
          <w:rFonts w:ascii="Arial" w:hAnsi="Arial" w:cs="Arial"/>
        </w:rPr>
      </w:pPr>
    </w:p>
    <w:p w14:paraId="4D79FE25" w14:textId="12AF0651" w:rsidR="00ED6DE1" w:rsidRDefault="0015581A" w:rsidP="007D7459">
      <w:pPr>
        <w:spacing w:after="0" w:line="240" w:lineRule="auto"/>
        <w:rPr>
          <w:rFonts w:ascii="Arial" w:hAnsi="Arial" w:cs="Arial"/>
          <w:b/>
          <w:color w:val="000000"/>
        </w:rPr>
      </w:pPr>
      <w:r>
        <w:rPr>
          <w:rFonts w:ascii="Arial" w:hAnsi="Arial" w:cs="Arial"/>
          <w:b/>
          <w:color w:val="000000"/>
        </w:rPr>
        <w:t>Responses to select committees and other consultations</w:t>
      </w:r>
    </w:p>
    <w:p w14:paraId="33993549" w14:textId="77777777" w:rsidR="007D7459" w:rsidRDefault="007D7459" w:rsidP="007D7459">
      <w:pPr>
        <w:spacing w:after="0" w:line="240" w:lineRule="auto"/>
        <w:rPr>
          <w:rFonts w:ascii="Arial" w:hAnsi="Arial" w:cs="Arial"/>
          <w:b/>
          <w:color w:val="000000"/>
        </w:rPr>
      </w:pPr>
    </w:p>
    <w:p w14:paraId="6457434F" w14:textId="7FCB2194" w:rsidR="0015581A" w:rsidRDefault="0015581A" w:rsidP="007D7459">
      <w:pPr>
        <w:pStyle w:val="ListParagraph"/>
        <w:numPr>
          <w:ilvl w:val="0"/>
          <w:numId w:val="26"/>
        </w:numPr>
        <w:spacing w:after="0" w:line="240" w:lineRule="auto"/>
        <w:rPr>
          <w:rFonts w:ascii="Arial" w:hAnsi="Arial" w:cs="Arial"/>
          <w:color w:val="000000"/>
        </w:rPr>
      </w:pPr>
      <w:r w:rsidRPr="007D7459">
        <w:rPr>
          <w:rFonts w:ascii="Arial" w:hAnsi="Arial" w:cs="Arial"/>
          <w:color w:val="000000"/>
        </w:rPr>
        <w:t xml:space="preserve">The Board has engaged with a range of select committees and other consultations, including: </w:t>
      </w:r>
    </w:p>
    <w:p w14:paraId="6E17B832" w14:textId="77777777" w:rsidR="007D7459" w:rsidRPr="007D7459" w:rsidRDefault="007D7459" w:rsidP="007D7459">
      <w:pPr>
        <w:pStyle w:val="ListParagraph"/>
        <w:spacing w:after="0" w:line="240" w:lineRule="auto"/>
        <w:rPr>
          <w:rFonts w:ascii="Arial" w:hAnsi="Arial" w:cs="Arial"/>
          <w:color w:val="000000"/>
        </w:rPr>
      </w:pPr>
    </w:p>
    <w:p w14:paraId="694CC872" w14:textId="3F317FD3" w:rsidR="0015581A" w:rsidRDefault="007D7459" w:rsidP="007D7459">
      <w:pPr>
        <w:spacing w:after="0" w:line="240" w:lineRule="auto"/>
        <w:ind w:left="1134" w:hanging="414"/>
        <w:rPr>
          <w:rFonts w:ascii="Arial" w:hAnsi="Arial" w:cs="Arial"/>
          <w:color w:val="000000"/>
        </w:rPr>
      </w:pPr>
      <w:r>
        <w:rPr>
          <w:rFonts w:ascii="Arial" w:hAnsi="Arial" w:cs="Arial"/>
          <w:color w:val="000000"/>
        </w:rPr>
        <w:t xml:space="preserve">9.1 </w:t>
      </w:r>
      <w:r>
        <w:rPr>
          <w:rFonts w:ascii="Arial" w:hAnsi="Arial" w:cs="Arial"/>
          <w:color w:val="000000"/>
        </w:rPr>
        <w:tab/>
      </w:r>
      <w:r w:rsidR="0015581A">
        <w:rPr>
          <w:rFonts w:ascii="Arial" w:hAnsi="Arial" w:cs="Arial"/>
          <w:color w:val="000000"/>
        </w:rPr>
        <w:t xml:space="preserve">Responding in August to a Department for Energy and Climate Change consultation on the future of the Energy Company Obligation funding energy efficiency; </w:t>
      </w:r>
    </w:p>
    <w:p w14:paraId="1DFE73D6" w14:textId="6901A00F" w:rsidR="0015581A" w:rsidRDefault="007D7459" w:rsidP="007D7459">
      <w:pPr>
        <w:spacing w:after="0" w:line="240" w:lineRule="auto"/>
        <w:ind w:left="1134" w:hanging="414"/>
        <w:rPr>
          <w:rFonts w:ascii="Arial" w:hAnsi="Arial" w:cs="Arial"/>
          <w:color w:val="000000"/>
        </w:rPr>
      </w:pPr>
      <w:r>
        <w:rPr>
          <w:rFonts w:ascii="Arial" w:hAnsi="Arial" w:cs="Arial"/>
          <w:color w:val="000000"/>
        </w:rPr>
        <w:t xml:space="preserve">9.2 </w:t>
      </w:r>
      <w:r>
        <w:rPr>
          <w:rFonts w:ascii="Arial" w:hAnsi="Arial" w:cs="Arial"/>
          <w:color w:val="000000"/>
        </w:rPr>
        <w:tab/>
      </w:r>
      <w:r w:rsidR="0015581A">
        <w:rPr>
          <w:rFonts w:ascii="Arial" w:hAnsi="Arial" w:cs="Arial"/>
          <w:color w:val="000000"/>
        </w:rPr>
        <w:t xml:space="preserve">Responding in August to an </w:t>
      </w:r>
      <w:proofErr w:type="spellStart"/>
      <w:r w:rsidR="0015581A">
        <w:rPr>
          <w:rFonts w:ascii="Arial" w:hAnsi="Arial" w:cs="Arial"/>
          <w:color w:val="000000"/>
        </w:rPr>
        <w:t>Ofgem</w:t>
      </w:r>
      <w:proofErr w:type="spellEnd"/>
      <w:r w:rsidR="0015581A">
        <w:rPr>
          <w:rFonts w:ascii="Arial" w:hAnsi="Arial" w:cs="Arial"/>
          <w:color w:val="000000"/>
        </w:rPr>
        <w:t xml:space="preserve"> consultation on opening up funding from voluntary redress payments by energy companies to a wider group of stakeholders including councils; </w:t>
      </w:r>
    </w:p>
    <w:p w14:paraId="5B1012D3" w14:textId="7E665A8E" w:rsidR="0015581A" w:rsidRDefault="007D7459" w:rsidP="007D7459">
      <w:pPr>
        <w:spacing w:after="0" w:line="240" w:lineRule="auto"/>
        <w:ind w:left="1134" w:hanging="414"/>
        <w:rPr>
          <w:rFonts w:ascii="Arial" w:hAnsi="Arial" w:cs="Arial"/>
          <w:color w:val="000000"/>
        </w:rPr>
      </w:pPr>
      <w:r>
        <w:rPr>
          <w:rFonts w:ascii="Arial" w:hAnsi="Arial" w:cs="Arial"/>
          <w:color w:val="000000"/>
        </w:rPr>
        <w:t xml:space="preserve">9.3 </w:t>
      </w:r>
      <w:r>
        <w:rPr>
          <w:rFonts w:ascii="Arial" w:hAnsi="Arial" w:cs="Arial"/>
          <w:color w:val="000000"/>
        </w:rPr>
        <w:tab/>
      </w:r>
      <w:r w:rsidR="0015581A">
        <w:rPr>
          <w:rFonts w:ascii="Arial" w:hAnsi="Arial" w:cs="Arial"/>
          <w:color w:val="000000"/>
        </w:rPr>
        <w:t xml:space="preserve">Submitting written evidence in September to the Environment, Food and Rural Affairs Committee Inquiry into the economic, social and environmental impact of food waste in England. </w:t>
      </w:r>
    </w:p>
    <w:p w14:paraId="1F023ADF" w14:textId="77777777" w:rsidR="007D7459" w:rsidRPr="0015581A" w:rsidRDefault="007D7459" w:rsidP="007D7459">
      <w:pPr>
        <w:spacing w:after="0" w:line="240" w:lineRule="auto"/>
        <w:rPr>
          <w:rFonts w:ascii="Arial" w:hAnsi="Arial" w:cs="Arial"/>
          <w:color w:val="000000"/>
        </w:rPr>
      </w:pPr>
    </w:p>
    <w:p w14:paraId="754CF1E5" w14:textId="23AE2BBA" w:rsidR="0015581A" w:rsidRDefault="00F33ADC" w:rsidP="007D7459">
      <w:pPr>
        <w:pStyle w:val="ListParagraph"/>
        <w:numPr>
          <w:ilvl w:val="0"/>
          <w:numId w:val="26"/>
        </w:numPr>
        <w:spacing w:after="0" w:line="240" w:lineRule="auto"/>
        <w:rPr>
          <w:rFonts w:ascii="Arial" w:hAnsi="Arial" w:cs="Arial"/>
        </w:rPr>
      </w:pPr>
      <w:r w:rsidRPr="007D7459">
        <w:rPr>
          <w:rFonts w:ascii="Arial" w:hAnsi="Arial" w:cs="Arial"/>
        </w:rPr>
        <w:t xml:space="preserve">The Board has briefed on a number of issues, including the Neighbourhood Planning Bill, the recent Parliamentary debate on quality and affordability of housing as well as submitting evidence to the All Party Parliamentary Group on Housing and Planning about the private rented sector. </w:t>
      </w:r>
    </w:p>
    <w:p w14:paraId="55319BD6" w14:textId="77777777" w:rsidR="007D7459" w:rsidRPr="007D7459" w:rsidRDefault="007D7459" w:rsidP="007D7459">
      <w:pPr>
        <w:pStyle w:val="ListParagraph"/>
        <w:spacing w:after="0" w:line="240" w:lineRule="auto"/>
        <w:rPr>
          <w:rFonts w:ascii="Arial" w:hAnsi="Arial" w:cs="Arial"/>
        </w:rPr>
      </w:pPr>
    </w:p>
    <w:p w14:paraId="6BF59E4E" w14:textId="377F8EC9" w:rsidR="0015581A" w:rsidRDefault="00F33ADC" w:rsidP="007D7459">
      <w:pPr>
        <w:pStyle w:val="ListParagraph"/>
        <w:numPr>
          <w:ilvl w:val="0"/>
          <w:numId w:val="26"/>
        </w:numPr>
        <w:spacing w:after="0" w:line="240" w:lineRule="auto"/>
        <w:rPr>
          <w:rFonts w:ascii="Arial" w:hAnsi="Arial" w:cs="Arial"/>
        </w:rPr>
      </w:pPr>
      <w:r w:rsidRPr="007D7459">
        <w:rPr>
          <w:rFonts w:ascii="Arial" w:hAnsi="Arial" w:cs="Arial"/>
        </w:rPr>
        <w:t xml:space="preserve">I have personally written to both Clive Betts (Chair of Communities and Local Government Committee) and the Rt. Hon. Marcus Jones MP (Minister for Communities and Local Government) with evidence on the Homelessness Reduction Bill. I have also written to the Public Accounts Committee on the review into the sale of public land. </w:t>
      </w:r>
    </w:p>
    <w:p w14:paraId="33958F9C" w14:textId="77777777" w:rsidR="007D7459" w:rsidRPr="007D7459" w:rsidRDefault="007D7459" w:rsidP="007D7459">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3B2754" w:rsidRPr="009E7460" w14:paraId="51B2F70C" w14:textId="77777777" w:rsidTr="003B2754">
        <w:tc>
          <w:tcPr>
            <w:tcW w:w="2802" w:type="dxa"/>
            <w:hideMark/>
          </w:tcPr>
          <w:p w14:paraId="4D21FC7D" w14:textId="77777777" w:rsidR="003B2754" w:rsidRPr="009E7460" w:rsidRDefault="003B2754" w:rsidP="007D7459">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 xml:space="preserve">Contact officer:  </w:t>
            </w:r>
          </w:p>
        </w:tc>
        <w:tc>
          <w:tcPr>
            <w:tcW w:w="6378" w:type="dxa"/>
            <w:hideMark/>
          </w:tcPr>
          <w:p w14:paraId="2BE029DE" w14:textId="77777777" w:rsidR="003B2754" w:rsidRPr="009E7460" w:rsidRDefault="003B2754" w:rsidP="007D7459">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Eamon Lally</w:t>
            </w:r>
          </w:p>
        </w:tc>
      </w:tr>
      <w:tr w:rsidR="003B2754" w:rsidRPr="009E7460" w14:paraId="61F0F361" w14:textId="77777777" w:rsidTr="003B2754">
        <w:tc>
          <w:tcPr>
            <w:tcW w:w="2802" w:type="dxa"/>
            <w:hideMark/>
          </w:tcPr>
          <w:p w14:paraId="59BC798D" w14:textId="77777777" w:rsidR="003B2754" w:rsidRPr="009E7460" w:rsidRDefault="003B2754" w:rsidP="007D7459">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Position:</w:t>
            </w:r>
          </w:p>
        </w:tc>
        <w:tc>
          <w:tcPr>
            <w:tcW w:w="6378" w:type="dxa"/>
            <w:hideMark/>
          </w:tcPr>
          <w:p w14:paraId="2E8FE92B" w14:textId="77777777" w:rsidR="003B2754" w:rsidRPr="009E7460" w:rsidRDefault="003B2754" w:rsidP="007D7459">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Principal Policy Adviser</w:t>
            </w:r>
          </w:p>
        </w:tc>
      </w:tr>
      <w:tr w:rsidR="003B2754" w:rsidRPr="009E7460" w14:paraId="35A055D0" w14:textId="77777777" w:rsidTr="003B2754">
        <w:tc>
          <w:tcPr>
            <w:tcW w:w="2802" w:type="dxa"/>
            <w:hideMark/>
          </w:tcPr>
          <w:p w14:paraId="73B5CB7E" w14:textId="77777777" w:rsidR="003B2754" w:rsidRPr="009E7460" w:rsidRDefault="003B2754" w:rsidP="007D7459">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Phone number:</w:t>
            </w:r>
          </w:p>
        </w:tc>
        <w:tc>
          <w:tcPr>
            <w:tcW w:w="6378" w:type="dxa"/>
            <w:hideMark/>
          </w:tcPr>
          <w:p w14:paraId="204C9943" w14:textId="77777777" w:rsidR="003B2754" w:rsidRPr="009E7460" w:rsidRDefault="003B2754" w:rsidP="007D7459">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0207 664 3132</w:t>
            </w:r>
          </w:p>
        </w:tc>
      </w:tr>
      <w:tr w:rsidR="003B2754" w:rsidRPr="009E7460" w14:paraId="3531A9CB" w14:textId="77777777" w:rsidTr="003B2754">
        <w:tc>
          <w:tcPr>
            <w:tcW w:w="2802" w:type="dxa"/>
            <w:hideMark/>
          </w:tcPr>
          <w:p w14:paraId="6308E86C" w14:textId="77777777" w:rsidR="003B2754" w:rsidRPr="009E7460" w:rsidRDefault="003B2754" w:rsidP="007D7459">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E-mail:</w:t>
            </w:r>
          </w:p>
        </w:tc>
        <w:tc>
          <w:tcPr>
            <w:tcW w:w="6378" w:type="dxa"/>
            <w:hideMark/>
          </w:tcPr>
          <w:p w14:paraId="67C96B99" w14:textId="77777777" w:rsidR="003B2754" w:rsidRPr="009E7460" w:rsidRDefault="003B2754" w:rsidP="007D7459">
            <w:pPr>
              <w:spacing w:after="0" w:line="240" w:lineRule="auto"/>
              <w:jc w:val="both"/>
              <w:rPr>
                <w:rFonts w:ascii="Arial" w:eastAsia="Times New Roman" w:hAnsi="Arial" w:cs="Arial"/>
                <w:lang w:eastAsia="en-GB"/>
              </w:rPr>
            </w:pPr>
            <w:r w:rsidRPr="009E7460">
              <w:rPr>
                <w:rFonts w:ascii="Arial" w:eastAsia="Times New Roman" w:hAnsi="Arial" w:cs="Arial"/>
                <w:lang w:eastAsia="en-GB"/>
              </w:rPr>
              <w:t xml:space="preserve">      </w:t>
            </w:r>
            <w:hyperlink r:id="rId12" w:history="1">
              <w:r w:rsidRPr="009E7460">
                <w:rPr>
                  <w:rStyle w:val="Hyperlink"/>
                  <w:rFonts w:ascii="Arial" w:hAnsi="Arial" w:cs="Arial"/>
                </w:rPr>
                <w:t>eamon.lally@local.gov.uk</w:t>
              </w:r>
            </w:hyperlink>
            <w:r w:rsidRPr="009E7460">
              <w:rPr>
                <w:rFonts w:ascii="Arial" w:hAnsi="Arial" w:cs="Arial"/>
              </w:rPr>
              <w:t xml:space="preserve"> </w:t>
            </w:r>
          </w:p>
        </w:tc>
      </w:tr>
    </w:tbl>
    <w:p w14:paraId="60D62979" w14:textId="77777777" w:rsidR="003B2754" w:rsidRPr="009E7460" w:rsidRDefault="003B2754" w:rsidP="007D7459">
      <w:pPr>
        <w:spacing w:after="0" w:line="240" w:lineRule="auto"/>
        <w:contextualSpacing/>
        <w:rPr>
          <w:rFonts w:ascii="Arial" w:hAnsi="Arial" w:cs="Arial"/>
          <w:color w:val="000000"/>
        </w:rPr>
      </w:pPr>
    </w:p>
    <w:sectPr w:rsidR="003B2754" w:rsidRPr="009E7460" w:rsidSect="007D7459">
      <w:headerReference w:type="defaul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F33ADC" w:rsidRDefault="00F33ADC" w:rsidP="00FA7FEC">
      <w:pPr>
        <w:spacing w:after="0" w:line="240" w:lineRule="auto"/>
      </w:pPr>
      <w:r>
        <w:separator/>
      </w:r>
    </w:p>
  </w:endnote>
  <w:endnote w:type="continuationSeparator" w:id="0">
    <w:p w14:paraId="284A9BD4" w14:textId="77777777" w:rsidR="00F33ADC" w:rsidRDefault="00F33ADC"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F33ADC" w:rsidRDefault="00F33ADC" w:rsidP="00FA7FEC">
      <w:pPr>
        <w:spacing w:after="0" w:line="240" w:lineRule="auto"/>
      </w:pPr>
      <w:r>
        <w:separator/>
      </w:r>
    </w:p>
  </w:footnote>
  <w:footnote w:type="continuationSeparator" w:id="0">
    <w:p w14:paraId="12C1C2AB" w14:textId="77777777" w:rsidR="00F33ADC" w:rsidRDefault="00F33ADC"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F33ADC" w:rsidRPr="00FA7FEC" w14:paraId="3EC8691D" w14:textId="77777777" w:rsidTr="002D3227">
      <w:trPr>
        <w:trHeight w:val="845"/>
      </w:trPr>
      <w:tc>
        <w:tcPr>
          <w:tcW w:w="5749" w:type="dxa"/>
          <w:vMerge w:val="restart"/>
        </w:tcPr>
        <w:p w14:paraId="3EC8691B" w14:textId="2441E3C9" w:rsidR="00F33ADC" w:rsidRPr="00FA7FEC" w:rsidRDefault="00F33ADC"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F33ADC" w:rsidRDefault="00F33ADC"/>
        <w:tbl>
          <w:tblPr>
            <w:tblW w:w="0" w:type="auto"/>
            <w:tblLook w:val="01E0" w:firstRow="1" w:lastRow="1" w:firstColumn="1" w:lastColumn="1" w:noHBand="0" w:noVBand="0"/>
          </w:tblPr>
          <w:tblGrid>
            <w:gridCol w:w="3203"/>
          </w:tblGrid>
          <w:tr w:rsidR="00F33ADC" w14:paraId="08BC315D" w14:textId="77777777" w:rsidTr="002C1927">
            <w:tc>
              <w:tcPr>
                <w:tcW w:w="3277" w:type="dxa"/>
                <w:hideMark/>
              </w:tcPr>
              <w:p w14:paraId="582118AB" w14:textId="77777777" w:rsidR="00F33ADC" w:rsidRDefault="00F33ADC">
                <w:pPr>
                  <w:pStyle w:val="Header"/>
                  <w:rPr>
                    <w:b/>
                  </w:rPr>
                </w:pPr>
                <w:r>
                  <w:rPr>
                    <w:rFonts w:ascii="Arial" w:hAnsi="Arial" w:cs="Arial"/>
                    <w:b/>
                  </w:rPr>
                  <w:t xml:space="preserve">Councillors’ Forum </w:t>
                </w:r>
              </w:p>
            </w:tc>
          </w:tr>
          <w:tr w:rsidR="00F33ADC" w14:paraId="44D115E6" w14:textId="77777777" w:rsidTr="002C1927">
            <w:trPr>
              <w:trHeight w:val="450"/>
            </w:trPr>
            <w:tc>
              <w:tcPr>
                <w:tcW w:w="3277" w:type="dxa"/>
                <w:hideMark/>
              </w:tcPr>
              <w:p w14:paraId="36BE7D13" w14:textId="40ECB8C6" w:rsidR="00F33ADC" w:rsidRDefault="00F33ADC" w:rsidP="0067263E">
                <w:pPr>
                  <w:pStyle w:val="Header"/>
                  <w:spacing w:before="60"/>
                </w:pPr>
                <w:r>
                  <w:rPr>
                    <w:rFonts w:ascii="Arial" w:hAnsi="Arial" w:cs="Arial"/>
                  </w:rPr>
                  <w:t>20 October 2016</w:t>
                </w:r>
              </w:p>
            </w:tc>
          </w:tr>
        </w:tbl>
        <w:p w14:paraId="3EC8691C" w14:textId="77777777" w:rsidR="00F33ADC" w:rsidRPr="00FA7FEC" w:rsidRDefault="00F33AD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F33ADC" w:rsidRPr="00FA7FEC" w14:paraId="3EC86921" w14:textId="77777777" w:rsidTr="00E64F72">
      <w:trPr>
        <w:trHeight w:val="80"/>
      </w:trPr>
      <w:tc>
        <w:tcPr>
          <w:tcW w:w="5749" w:type="dxa"/>
          <w:vMerge/>
        </w:tcPr>
        <w:p w14:paraId="3EC8691E" w14:textId="77777777" w:rsidR="00F33ADC" w:rsidRPr="00FA7FEC" w:rsidRDefault="00F33ADC"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F33ADC" w:rsidRPr="00FA7FEC" w:rsidRDefault="00F33ADC"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F33ADC" w:rsidRDefault="00F3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108E"/>
    <w:multiLevelType w:val="hybridMultilevel"/>
    <w:tmpl w:val="A880DD1A"/>
    <w:lvl w:ilvl="0" w:tplc="28A6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3A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417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94D6F"/>
    <w:multiLevelType w:val="multilevel"/>
    <w:tmpl w:val="E7286E4A"/>
    <w:lvl w:ilvl="0">
      <w:start w:val="1"/>
      <w:numFmt w:val="decimal"/>
      <w:lvlText w:val="%1."/>
      <w:lvlJc w:val="left"/>
      <w:pPr>
        <w:ind w:left="720" w:hanging="36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AAF5DE6"/>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618"/>
    <w:multiLevelType w:val="hybridMultilevel"/>
    <w:tmpl w:val="37F0791E"/>
    <w:lvl w:ilvl="0" w:tplc="D1486BC0">
      <w:start w:val="1"/>
      <w:numFmt w:val="decimal"/>
      <w:lvlText w:val="%1."/>
      <w:lvlJc w:val="left"/>
      <w:pPr>
        <w:ind w:left="680" w:hanging="34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D6C3D"/>
    <w:multiLevelType w:val="hybridMultilevel"/>
    <w:tmpl w:val="5FB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F7102"/>
    <w:multiLevelType w:val="hybridMultilevel"/>
    <w:tmpl w:val="8E1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E66083"/>
    <w:multiLevelType w:val="hybridMultilevel"/>
    <w:tmpl w:val="BC1E5BE6"/>
    <w:lvl w:ilvl="0" w:tplc="FEB277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F4165"/>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9"/>
  </w:num>
  <w:num w:numId="4">
    <w:abstractNumId w:val="13"/>
  </w:num>
  <w:num w:numId="5">
    <w:abstractNumId w:val="12"/>
  </w:num>
  <w:num w:numId="6">
    <w:abstractNumId w:val="1"/>
  </w:num>
  <w:num w:numId="7">
    <w:abstractNumId w:val="17"/>
  </w:num>
  <w:num w:numId="8">
    <w:abstractNumId w:val="23"/>
  </w:num>
  <w:num w:numId="9">
    <w:abstractNumId w:val="21"/>
  </w:num>
  <w:num w:numId="10">
    <w:abstractNumId w:val="19"/>
  </w:num>
  <w:num w:numId="11">
    <w:abstractNumId w:val="11"/>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0"/>
  </w:num>
  <w:num w:numId="17">
    <w:abstractNumId w:val="15"/>
  </w:num>
  <w:num w:numId="18">
    <w:abstractNumId w:val="14"/>
  </w:num>
  <w:num w:numId="19">
    <w:abstractNumId w:val="5"/>
  </w:num>
  <w:num w:numId="20">
    <w:abstractNumId w:val="22"/>
  </w:num>
  <w:num w:numId="21">
    <w:abstractNumId w:val="6"/>
  </w:num>
  <w:num w:numId="22">
    <w:abstractNumId w:val="20"/>
  </w:num>
  <w:num w:numId="23">
    <w:abstractNumId w:val="0"/>
  </w:num>
  <w:num w:numId="24">
    <w:abstractNumId w:val="7"/>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443E"/>
    <w:rsid w:val="0003169F"/>
    <w:rsid w:val="00044557"/>
    <w:rsid w:val="000500AA"/>
    <w:rsid w:val="00060B84"/>
    <w:rsid w:val="00061D95"/>
    <w:rsid w:val="00073D0F"/>
    <w:rsid w:val="000A7062"/>
    <w:rsid w:val="000C0A7E"/>
    <w:rsid w:val="000F27F8"/>
    <w:rsid w:val="000F55BE"/>
    <w:rsid w:val="00113ABE"/>
    <w:rsid w:val="00116CF6"/>
    <w:rsid w:val="00142393"/>
    <w:rsid w:val="0015485D"/>
    <w:rsid w:val="0015581A"/>
    <w:rsid w:val="00160A7E"/>
    <w:rsid w:val="0016139C"/>
    <w:rsid w:val="0018400B"/>
    <w:rsid w:val="00185339"/>
    <w:rsid w:val="0018633A"/>
    <w:rsid w:val="00192063"/>
    <w:rsid w:val="00195BD4"/>
    <w:rsid w:val="001B5544"/>
    <w:rsid w:val="001C24B8"/>
    <w:rsid w:val="001C7CAB"/>
    <w:rsid w:val="001D67B4"/>
    <w:rsid w:val="001D6E9B"/>
    <w:rsid w:val="001D7B9D"/>
    <w:rsid w:val="001E73CC"/>
    <w:rsid w:val="00204ED9"/>
    <w:rsid w:val="0023558D"/>
    <w:rsid w:val="0028349B"/>
    <w:rsid w:val="00291F92"/>
    <w:rsid w:val="002A1BD8"/>
    <w:rsid w:val="002A78CB"/>
    <w:rsid w:val="002B5D96"/>
    <w:rsid w:val="002C0A93"/>
    <w:rsid w:val="002C109E"/>
    <w:rsid w:val="002C1927"/>
    <w:rsid w:val="002D015E"/>
    <w:rsid w:val="002D3227"/>
    <w:rsid w:val="002D632A"/>
    <w:rsid w:val="002E1625"/>
    <w:rsid w:val="002E4AF6"/>
    <w:rsid w:val="002F28CE"/>
    <w:rsid w:val="00304F9F"/>
    <w:rsid w:val="00307E1A"/>
    <w:rsid w:val="00313BB9"/>
    <w:rsid w:val="00316D6C"/>
    <w:rsid w:val="0033705D"/>
    <w:rsid w:val="00352054"/>
    <w:rsid w:val="00352825"/>
    <w:rsid w:val="0035347C"/>
    <w:rsid w:val="00353809"/>
    <w:rsid w:val="0036515E"/>
    <w:rsid w:val="0037498B"/>
    <w:rsid w:val="003972BD"/>
    <w:rsid w:val="003A7576"/>
    <w:rsid w:val="003B2754"/>
    <w:rsid w:val="003C186C"/>
    <w:rsid w:val="003D1A36"/>
    <w:rsid w:val="003E634B"/>
    <w:rsid w:val="003E7664"/>
    <w:rsid w:val="00403728"/>
    <w:rsid w:val="004111D7"/>
    <w:rsid w:val="004610C4"/>
    <w:rsid w:val="00474CD4"/>
    <w:rsid w:val="004954FA"/>
    <w:rsid w:val="004A59D9"/>
    <w:rsid w:val="004E2F46"/>
    <w:rsid w:val="0054767C"/>
    <w:rsid w:val="00554089"/>
    <w:rsid w:val="005600B4"/>
    <w:rsid w:val="00580102"/>
    <w:rsid w:val="005D491A"/>
    <w:rsid w:val="005E6804"/>
    <w:rsid w:val="005E689A"/>
    <w:rsid w:val="005F384B"/>
    <w:rsid w:val="00604CDC"/>
    <w:rsid w:val="0061551D"/>
    <w:rsid w:val="00646343"/>
    <w:rsid w:val="0065746A"/>
    <w:rsid w:val="00663927"/>
    <w:rsid w:val="00663D12"/>
    <w:rsid w:val="0067263E"/>
    <w:rsid w:val="00673A89"/>
    <w:rsid w:val="00676F6F"/>
    <w:rsid w:val="00681A78"/>
    <w:rsid w:val="006A7518"/>
    <w:rsid w:val="006B16F1"/>
    <w:rsid w:val="006D14DE"/>
    <w:rsid w:val="006D16E8"/>
    <w:rsid w:val="006D2BD3"/>
    <w:rsid w:val="006E32CB"/>
    <w:rsid w:val="006E466A"/>
    <w:rsid w:val="00731494"/>
    <w:rsid w:val="00731941"/>
    <w:rsid w:val="0074347D"/>
    <w:rsid w:val="00746411"/>
    <w:rsid w:val="00750591"/>
    <w:rsid w:val="00753BAD"/>
    <w:rsid w:val="00763B7F"/>
    <w:rsid w:val="007661C4"/>
    <w:rsid w:val="00775402"/>
    <w:rsid w:val="00795D93"/>
    <w:rsid w:val="007B6945"/>
    <w:rsid w:val="007C1C2E"/>
    <w:rsid w:val="007D3BDB"/>
    <w:rsid w:val="007D7152"/>
    <w:rsid w:val="007D7459"/>
    <w:rsid w:val="007E32CF"/>
    <w:rsid w:val="00804668"/>
    <w:rsid w:val="0083498C"/>
    <w:rsid w:val="008554B4"/>
    <w:rsid w:val="008872BE"/>
    <w:rsid w:val="008E031A"/>
    <w:rsid w:val="008E3FBA"/>
    <w:rsid w:val="008F39B4"/>
    <w:rsid w:val="00907FEE"/>
    <w:rsid w:val="0091094C"/>
    <w:rsid w:val="00915641"/>
    <w:rsid w:val="009159F6"/>
    <w:rsid w:val="00972006"/>
    <w:rsid w:val="0099212F"/>
    <w:rsid w:val="009B20DA"/>
    <w:rsid w:val="009B5C29"/>
    <w:rsid w:val="009B73EB"/>
    <w:rsid w:val="009D1717"/>
    <w:rsid w:val="009D72CC"/>
    <w:rsid w:val="009E1153"/>
    <w:rsid w:val="009E7460"/>
    <w:rsid w:val="009F22D9"/>
    <w:rsid w:val="009F5E57"/>
    <w:rsid w:val="00A020C2"/>
    <w:rsid w:val="00A148EB"/>
    <w:rsid w:val="00A1576D"/>
    <w:rsid w:val="00A21F6D"/>
    <w:rsid w:val="00AB4EF5"/>
    <w:rsid w:val="00AD2114"/>
    <w:rsid w:val="00AE4508"/>
    <w:rsid w:val="00AE50C1"/>
    <w:rsid w:val="00B03B6C"/>
    <w:rsid w:val="00B06123"/>
    <w:rsid w:val="00B276D0"/>
    <w:rsid w:val="00B348EE"/>
    <w:rsid w:val="00B94ECE"/>
    <w:rsid w:val="00BB58FE"/>
    <w:rsid w:val="00BC2DB5"/>
    <w:rsid w:val="00BC5A8B"/>
    <w:rsid w:val="00BD2A06"/>
    <w:rsid w:val="00C13E87"/>
    <w:rsid w:val="00C22DB8"/>
    <w:rsid w:val="00C320F1"/>
    <w:rsid w:val="00C3529D"/>
    <w:rsid w:val="00C359B3"/>
    <w:rsid w:val="00C4551C"/>
    <w:rsid w:val="00C55958"/>
    <w:rsid w:val="00CC03C4"/>
    <w:rsid w:val="00CF12E4"/>
    <w:rsid w:val="00D11346"/>
    <w:rsid w:val="00D1768A"/>
    <w:rsid w:val="00D225FB"/>
    <w:rsid w:val="00D2290A"/>
    <w:rsid w:val="00D24356"/>
    <w:rsid w:val="00D25518"/>
    <w:rsid w:val="00D4129F"/>
    <w:rsid w:val="00D43215"/>
    <w:rsid w:val="00D45A57"/>
    <w:rsid w:val="00D80F45"/>
    <w:rsid w:val="00D92E43"/>
    <w:rsid w:val="00D95469"/>
    <w:rsid w:val="00DA4995"/>
    <w:rsid w:val="00DA6022"/>
    <w:rsid w:val="00DC5941"/>
    <w:rsid w:val="00DD4AA2"/>
    <w:rsid w:val="00DE2D88"/>
    <w:rsid w:val="00DF1DB2"/>
    <w:rsid w:val="00DF2BB0"/>
    <w:rsid w:val="00DF3FDC"/>
    <w:rsid w:val="00E116A4"/>
    <w:rsid w:val="00E21CD3"/>
    <w:rsid w:val="00E30FA6"/>
    <w:rsid w:val="00E52E62"/>
    <w:rsid w:val="00E54A3B"/>
    <w:rsid w:val="00E64D23"/>
    <w:rsid w:val="00E64F72"/>
    <w:rsid w:val="00E7069B"/>
    <w:rsid w:val="00E72F50"/>
    <w:rsid w:val="00E8307D"/>
    <w:rsid w:val="00E93795"/>
    <w:rsid w:val="00EA2933"/>
    <w:rsid w:val="00EB5DA5"/>
    <w:rsid w:val="00EC157F"/>
    <w:rsid w:val="00ED03E7"/>
    <w:rsid w:val="00ED6DE1"/>
    <w:rsid w:val="00EE2BA3"/>
    <w:rsid w:val="00EE4924"/>
    <w:rsid w:val="00EF4214"/>
    <w:rsid w:val="00EF7FC1"/>
    <w:rsid w:val="00F13EC7"/>
    <w:rsid w:val="00F23571"/>
    <w:rsid w:val="00F25E0A"/>
    <w:rsid w:val="00F3338A"/>
    <w:rsid w:val="00F33ADC"/>
    <w:rsid w:val="00F93F8D"/>
    <w:rsid w:val="00FA7FEC"/>
    <w:rsid w:val="00FB4955"/>
    <w:rsid w:val="00FB4DF5"/>
    <w:rsid w:val="00FB5E4D"/>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 w:type="character" w:styleId="CommentReference">
    <w:name w:val="annotation reference"/>
    <w:basedOn w:val="DefaultParagraphFont"/>
    <w:uiPriority w:val="99"/>
    <w:semiHidden/>
    <w:unhideWhenUsed/>
    <w:rsid w:val="00F33ADC"/>
    <w:rPr>
      <w:sz w:val="16"/>
      <w:szCs w:val="16"/>
    </w:rPr>
  </w:style>
  <w:style w:type="paragraph" w:styleId="CommentText">
    <w:name w:val="annotation text"/>
    <w:basedOn w:val="Normal"/>
    <w:link w:val="CommentTextChar"/>
    <w:uiPriority w:val="99"/>
    <w:unhideWhenUsed/>
    <w:rsid w:val="00F33ADC"/>
    <w:pPr>
      <w:spacing w:line="240" w:lineRule="auto"/>
    </w:pPr>
    <w:rPr>
      <w:sz w:val="20"/>
      <w:szCs w:val="20"/>
    </w:rPr>
  </w:style>
  <w:style w:type="character" w:customStyle="1" w:styleId="CommentTextChar">
    <w:name w:val="Comment Text Char"/>
    <w:basedOn w:val="DefaultParagraphFont"/>
    <w:link w:val="CommentText"/>
    <w:uiPriority w:val="99"/>
    <w:rsid w:val="00F33ADC"/>
    <w:rPr>
      <w:sz w:val="20"/>
      <w:szCs w:val="20"/>
    </w:rPr>
  </w:style>
  <w:style w:type="paragraph" w:styleId="CommentSubject">
    <w:name w:val="annotation subject"/>
    <w:basedOn w:val="CommentText"/>
    <w:next w:val="CommentText"/>
    <w:link w:val="CommentSubjectChar"/>
    <w:uiPriority w:val="99"/>
    <w:semiHidden/>
    <w:unhideWhenUsed/>
    <w:rsid w:val="00F33ADC"/>
    <w:rPr>
      <w:b/>
      <w:bCs/>
    </w:rPr>
  </w:style>
  <w:style w:type="character" w:customStyle="1" w:styleId="CommentSubjectChar">
    <w:name w:val="Comment Subject Char"/>
    <w:basedOn w:val="CommentTextChar"/>
    <w:link w:val="CommentSubject"/>
    <w:uiPriority w:val="99"/>
    <w:semiHidden/>
    <w:rsid w:val="00F33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166755476">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12355617">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59440645">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23609377">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21467760">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08761509">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03387833">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79221042">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11139726">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mon.lally@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liament.uk/documents/commons-committees/communities-and-local-government/Homelessness-Reduction-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5395-DD0E-473F-BBC9-0D79255BA4B0}">
  <ds:schemaRefs>
    <ds:schemaRef ds:uri="1c8a0e75-f4bc-4eb4-8ed0-578eaea9e1ca"/>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c8febe6a-14d9-43ab-83c3-c48f478fa47c"/>
    <ds:schemaRef ds:uri="http://schemas.microsoft.com/office/2006/metadata/properties"/>
  </ds:schemaRefs>
</ds:datastoreItem>
</file>

<file path=customXml/itemProps2.xml><?xml version="1.0" encoding="utf-8"?>
<ds:datastoreItem xmlns:ds="http://schemas.openxmlformats.org/officeDocument/2006/customXml" ds:itemID="{34A6BEB9-3D00-4F5A-A630-DD1619BE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4.xml><?xml version="1.0" encoding="utf-8"?>
<ds:datastoreItem xmlns:ds="http://schemas.openxmlformats.org/officeDocument/2006/customXml" ds:itemID="{B1466B81-650B-43B5-8E6B-C48E8596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384D4ABD.dotm</Template>
  <TotalTime>4</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Frances Marshall</cp:lastModifiedBy>
  <cp:revision>4</cp:revision>
  <cp:lastPrinted>2014-10-13T16:12:00Z</cp:lastPrinted>
  <dcterms:created xsi:type="dcterms:W3CDTF">2016-10-10T15:15:00Z</dcterms:created>
  <dcterms:modified xsi:type="dcterms:W3CDTF">2016-10-13T15:23:00Z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0x0101000F4EAB03B2E8D04DBFAEDF240153C527</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